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B5E9" w14:textId="71C440A5" w:rsidR="001659E4" w:rsidRPr="001D061F" w:rsidRDefault="001D061F" w:rsidP="001D061F">
      <w:pPr>
        <w:rPr>
          <w:rFonts w:cstheme="minorHAnsi"/>
          <w:sz w:val="20"/>
          <w:szCs w:val="20"/>
        </w:rPr>
      </w:pPr>
      <w:r>
        <w:rPr>
          <w:noProof/>
        </w:rPr>
        <w:drawing>
          <wp:inline distT="0" distB="0" distL="0" distR="0" wp14:anchorId="1660BF2F" wp14:editId="18932825">
            <wp:extent cx="800100" cy="1009650"/>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1009650"/>
                    </a:xfrm>
                    <a:prstGeom prst="rect">
                      <a:avLst/>
                    </a:prstGeom>
                    <a:noFill/>
                    <a:ln>
                      <a:noFill/>
                    </a:ln>
                  </pic:spPr>
                </pic:pic>
              </a:graphicData>
            </a:graphic>
          </wp:inline>
        </w:drawing>
      </w:r>
    </w:p>
    <w:p w14:paraId="7DACC8E5" w14:textId="68A3E5C3" w:rsidR="001659E4" w:rsidRPr="0041424E" w:rsidRDefault="001659E4" w:rsidP="00720A95">
      <w:pPr>
        <w:shd w:val="clear" w:color="auto" w:fill="FFFFFF"/>
        <w:spacing w:after="0" w:line="240" w:lineRule="auto"/>
        <w:jc w:val="both"/>
        <w:rPr>
          <w:rFonts w:eastAsia="Times New Roman" w:cstheme="minorHAnsi"/>
          <w:b/>
          <w:bCs/>
          <w:color w:val="222222"/>
          <w:sz w:val="20"/>
          <w:szCs w:val="20"/>
          <w:lang w:eastAsia="sl-SI"/>
        </w:rPr>
      </w:pPr>
    </w:p>
    <w:p w14:paraId="72B24B52" w14:textId="77777777" w:rsidR="001659E4" w:rsidRPr="0041424E" w:rsidRDefault="001659E4" w:rsidP="00720A95">
      <w:pPr>
        <w:shd w:val="clear" w:color="auto" w:fill="FFFFFF"/>
        <w:spacing w:after="0" w:line="240" w:lineRule="auto"/>
        <w:jc w:val="both"/>
        <w:rPr>
          <w:rFonts w:eastAsia="Times New Roman" w:cstheme="minorHAnsi"/>
          <w:b/>
          <w:bCs/>
          <w:color w:val="222222"/>
          <w:sz w:val="20"/>
          <w:szCs w:val="20"/>
          <w:lang w:eastAsia="sl-SI"/>
        </w:rPr>
      </w:pPr>
    </w:p>
    <w:p w14:paraId="30E7EA82" w14:textId="1AC29A26"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Poslovno-ekonomsk</w:t>
      </w:r>
      <w:r w:rsidR="001D378F" w:rsidRPr="0041424E">
        <w:rPr>
          <w:rFonts w:eastAsia="Times New Roman" w:cstheme="minorHAnsi"/>
          <w:b/>
          <w:bCs/>
          <w:color w:val="222222"/>
          <w:sz w:val="20"/>
          <w:szCs w:val="20"/>
          <w:lang w:eastAsia="sl-SI"/>
        </w:rPr>
        <w:t>a</w:t>
      </w:r>
      <w:r w:rsidRPr="0041424E">
        <w:rPr>
          <w:rFonts w:eastAsia="Times New Roman" w:cstheme="minorHAnsi"/>
          <w:b/>
          <w:bCs/>
          <w:color w:val="222222"/>
          <w:sz w:val="20"/>
          <w:szCs w:val="20"/>
          <w:lang w:eastAsia="sl-SI"/>
        </w:rPr>
        <w:t xml:space="preserve"> con</w:t>
      </w:r>
      <w:r w:rsidR="001D378F" w:rsidRPr="0041424E">
        <w:rPr>
          <w:rFonts w:eastAsia="Times New Roman" w:cstheme="minorHAnsi"/>
          <w:b/>
          <w:bCs/>
          <w:color w:val="222222"/>
          <w:sz w:val="20"/>
          <w:szCs w:val="20"/>
          <w:lang w:eastAsia="sl-SI"/>
        </w:rPr>
        <w:t>a</w:t>
      </w:r>
      <w:r w:rsidRPr="0041424E">
        <w:rPr>
          <w:rFonts w:eastAsia="Times New Roman" w:cstheme="minorHAnsi"/>
          <w:b/>
          <w:bCs/>
          <w:color w:val="222222"/>
          <w:sz w:val="20"/>
          <w:szCs w:val="20"/>
          <w:lang w:eastAsia="sl-SI"/>
        </w:rPr>
        <w:t xml:space="preserve"> Nova Gorica – Kromberk</w:t>
      </w:r>
    </w:p>
    <w:p w14:paraId="4C1C4E13"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ODLIČNA PRILOŽNOST ZA POSLOVNO GRADNJO</w:t>
      </w:r>
    </w:p>
    <w:p w14:paraId="74EC085D"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 </w:t>
      </w:r>
    </w:p>
    <w:p w14:paraId="79FD9EAC"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xml:space="preserve">Novogoriška mestna občina ureja komunalno infrastrukturo v Kromberku, na območju med trgovskim centrom Merkur in nekdanjim </w:t>
      </w:r>
      <w:proofErr w:type="spellStart"/>
      <w:r w:rsidRPr="0041424E">
        <w:rPr>
          <w:rFonts w:eastAsia="Times New Roman" w:cstheme="minorHAnsi"/>
          <w:color w:val="222222"/>
          <w:sz w:val="20"/>
          <w:szCs w:val="20"/>
          <w:lang w:eastAsia="sl-SI"/>
        </w:rPr>
        <w:t>Mipom</w:t>
      </w:r>
      <w:proofErr w:type="spellEnd"/>
      <w:r w:rsidRPr="0041424E">
        <w:rPr>
          <w:rFonts w:eastAsia="Times New Roman" w:cstheme="minorHAnsi"/>
          <w:color w:val="222222"/>
          <w:sz w:val="20"/>
          <w:szCs w:val="20"/>
          <w:lang w:eastAsia="sl-SI"/>
        </w:rPr>
        <w:t>, kjer bo zrasla Poslovno-ekonomsko cono Nova Gorica – Kromberk. Prednost nove poslovno-ekonomske cone je v lokaciji, saj je umeščena v bližino regijskega središča – Nove Gorice, avtoceste in državne meje z Italijo ter v programskem konceptu, ki se prioritetno usmerja v umeščanje inovativnih podjetij ter podjetij z visoko dodano vrednostjo.</w:t>
      </w:r>
    </w:p>
    <w:p w14:paraId="11BD262C"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206E18DD"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Načrtuje se prodajo osmih zemljišč različnih velikostih, od 2.000 m</w:t>
      </w:r>
      <w:r w:rsidRPr="0041424E">
        <w:rPr>
          <w:rFonts w:eastAsia="Times New Roman" w:cstheme="minorHAnsi"/>
          <w:color w:val="222222"/>
          <w:sz w:val="20"/>
          <w:szCs w:val="20"/>
          <w:vertAlign w:val="superscript"/>
          <w:lang w:eastAsia="sl-SI"/>
        </w:rPr>
        <w:t>2</w:t>
      </w:r>
      <w:r w:rsidRPr="0041424E">
        <w:rPr>
          <w:rFonts w:eastAsia="Times New Roman" w:cstheme="minorHAnsi"/>
          <w:color w:val="222222"/>
          <w:sz w:val="20"/>
          <w:szCs w:val="20"/>
          <w:lang w:eastAsia="sl-SI"/>
        </w:rPr>
        <w:t> do 4.200 m</w:t>
      </w:r>
      <w:r w:rsidRPr="0041424E">
        <w:rPr>
          <w:rFonts w:eastAsia="Times New Roman" w:cstheme="minorHAnsi"/>
          <w:color w:val="222222"/>
          <w:sz w:val="20"/>
          <w:szCs w:val="20"/>
          <w:vertAlign w:val="superscript"/>
          <w:lang w:eastAsia="sl-SI"/>
        </w:rPr>
        <w:t>2</w:t>
      </w:r>
      <w:r w:rsidRPr="0041424E">
        <w:rPr>
          <w:rFonts w:eastAsia="Times New Roman" w:cstheme="minorHAnsi"/>
          <w:color w:val="222222"/>
          <w:sz w:val="20"/>
          <w:szCs w:val="20"/>
          <w:lang w:eastAsia="sl-SI"/>
        </w:rPr>
        <w:t>, skupaj 25.416 m</w:t>
      </w:r>
      <w:r w:rsidRPr="0041424E">
        <w:rPr>
          <w:rFonts w:eastAsia="Times New Roman" w:cstheme="minorHAnsi"/>
          <w:color w:val="222222"/>
          <w:sz w:val="20"/>
          <w:szCs w:val="20"/>
          <w:vertAlign w:val="superscript"/>
          <w:lang w:eastAsia="sl-SI"/>
        </w:rPr>
        <w:t>2</w:t>
      </w:r>
      <w:r w:rsidRPr="0041424E">
        <w:rPr>
          <w:rFonts w:eastAsia="Times New Roman" w:cstheme="minorHAnsi"/>
          <w:color w:val="222222"/>
          <w:sz w:val="20"/>
          <w:szCs w:val="20"/>
          <w:lang w:eastAsia="sl-SI"/>
        </w:rPr>
        <w:t> površin. Primerjalne prednosti  za investitorje so naslednje:</w:t>
      </w:r>
    </w:p>
    <w:p w14:paraId="3ABC9693"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6FE95965" w14:textId="77777777" w:rsidR="00720A95" w:rsidRPr="0041424E" w:rsidRDefault="00720A95" w:rsidP="00720A95">
      <w:pPr>
        <w:numPr>
          <w:ilvl w:val="0"/>
          <w:numId w:val="2"/>
        </w:numPr>
        <w:shd w:val="clear" w:color="auto" w:fill="FFFFFF"/>
        <w:spacing w:after="0" w:line="330" w:lineRule="atLeast"/>
        <w:jc w:val="both"/>
        <w:rPr>
          <w:rFonts w:eastAsia="Times New Roman" w:cstheme="minorHAnsi"/>
          <w:color w:val="222222"/>
          <w:sz w:val="16"/>
          <w:szCs w:val="16"/>
          <w:lang w:eastAsia="sl-SI"/>
        </w:rPr>
      </w:pPr>
      <w:r w:rsidRPr="0041424E">
        <w:rPr>
          <w:rFonts w:eastAsia="Times New Roman" w:cstheme="minorHAnsi"/>
          <w:color w:val="222222"/>
          <w:sz w:val="20"/>
          <w:szCs w:val="20"/>
          <w:lang w:eastAsia="sl-SI"/>
        </w:rPr>
        <w:t>Možnost  ugodnega nakupa zemljišča v regijskem središču z dobro prometno povezavo in možnostjo do 80 % sofinanciranja komunalnih prispevkov.</w:t>
      </w:r>
    </w:p>
    <w:p w14:paraId="66176948" w14:textId="77777777" w:rsidR="00720A95" w:rsidRPr="0041424E" w:rsidRDefault="00720A95" w:rsidP="00720A95">
      <w:pPr>
        <w:numPr>
          <w:ilvl w:val="0"/>
          <w:numId w:val="2"/>
        </w:numPr>
        <w:shd w:val="clear" w:color="auto" w:fill="FFFFFF"/>
        <w:spacing w:after="0" w:line="330" w:lineRule="atLeast"/>
        <w:jc w:val="both"/>
        <w:rPr>
          <w:rFonts w:eastAsia="Times New Roman" w:cstheme="minorHAnsi"/>
          <w:color w:val="222222"/>
          <w:sz w:val="16"/>
          <w:szCs w:val="16"/>
          <w:lang w:eastAsia="sl-SI"/>
        </w:rPr>
      </w:pPr>
      <w:r w:rsidRPr="0041424E">
        <w:rPr>
          <w:rFonts w:eastAsia="Times New Roman" w:cstheme="minorHAnsi"/>
          <w:color w:val="222222"/>
          <w:sz w:val="20"/>
          <w:szCs w:val="20"/>
          <w:lang w:eastAsia="sl-SI"/>
        </w:rPr>
        <w:t>Podjetja imajo možnost izbire obsega površine, ki jo potrebujejo za zagon oziroma širitev poslovne dejavnosti. Nova poslovno-ekonomska cona ponovno odpira prostorske možnosti za poslovanje podjetij -   v Novi Gorici in  okolici je že ves prostor izkoriščen.</w:t>
      </w:r>
    </w:p>
    <w:p w14:paraId="2B2ED715" w14:textId="77777777" w:rsidR="00720A95" w:rsidRPr="0041424E" w:rsidRDefault="00720A95" w:rsidP="00720A95">
      <w:pPr>
        <w:numPr>
          <w:ilvl w:val="0"/>
          <w:numId w:val="2"/>
        </w:numPr>
        <w:shd w:val="clear" w:color="auto" w:fill="FFFFFF"/>
        <w:spacing w:after="0" w:line="330" w:lineRule="atLeast"/>
        <w:jc w:val="both"/>
        <w:rPr>
          <w:rFonts w:eastAsia="Times New Roman" w:cstheme="minorHAnsi"/>
          <w:color w:val="222222"/>
          <w:sz w:val="16"/>
          <w:szCs w:val="16"/>
          <w:lang w:eastAsia="sl-SI"/>
        </w:rPr>
      </w:pPr>
      <w:r w:rsidRPr="0041424E">
        <w:rPr>
          <w:rFonts w:eastAsia="Times New Roman" w:cstheme="minorHAnsi"/>
          <w:color w:val="222222"/>
          <w:sz w:val="20"/>
          <w:szCs w:val="20"/>
          <w:lang w:eastAsia="sl-SI"/>
        </w:rPr>
        <w:t>Zasnova poslovne-ekonomske cone nudi fleksibilnost, kjer se lahko podjetja</w:t>
      </w:r>
      <w:r w:rsidRPr="0041424E">
        <w:rPr>
          <w:rFonts w:eastAsia="Times New Roman" w:cstheme="minorHAnsi"/>
          <w:color w:val="FF0000"/>
          <w:sz w:val="20"/>
          <w:szCs w:val="20"/>
          <w:lang w:eastAsia="sl-SI"/>
        </w:rPr>
        <w:t> </w:t>
      </w:r>
      <w:r w:rsidRPr="0041424E">
        <w:rPr>
          <w:rFonts w:eastAsia="Times New Roman" w:cstheme="minorHAnsi"/>
          <w:color w:val="222222"/>
          <w:sz w:val="20"/>
          <w:szCs w:val="20"/>
          <w:lang w:eastAsia="sl-SI"/>
        </w:rPr>
        <w:t>združijo in kupijo skupaj eno zemljišče ali več. Ravno zaradi take ureditve zemljišč je projekt primeren tako za manjša kot tudi srednja podjetja.</w:t>
      </w:r>
    </w:p>
    <w:p w14:paraId="3EFE17FF" w14:textId="77777777" w:rsidR="00720A95" w:rsidRPr="0041424E" w:rsidRDefault="00720A95" w:rsidP="00720A95">
      <w:pPr>
        <w:numPr>
          <w:ilvl w:val="0"/>
          <w:numId w:val="2"/>
        </w:numPr>
        <w:shd w:val="clear" w:color="auto" w:fill="FFFFFF"/>
        <w:spacing w:line="330" w:lineRule="atLeast"/>
        <w:jc w:val="both"/>
        <w:rPr>
          <w:rFonts w:eastAsia="Times New Roman" w:cstheme="minorHAnsi"/>
          <w:color w:val="222222"/>
          <w:sz w:val="16"/>
          <w:szCs w:val="16"/>
          <w:lang w:eastAsia="sl-SI"/>
        </w:rPr>
      </w:pPr>
      <w:r w:rsidRPr="0041424E">
        <w:rPr>
          <w:rFonts w:eastAsia="Times New Roman" w:cstheme="minorHAnsi"/>
          <w:color w:val="222222"/>
          <w:sz w:val="20"/>
          <w:szCs w:val="20"/>
          <w:lang w:eastAsia="sl-SI"/>
        </w:rPr>
        <w:t>Nova Gorica je regijsko in izobraževalno središče tako tehnične narave kot tudi družboslovnih vsebin. Poleg tega ima tudi univerzo in mednarodno univerzitetno središče, zato je kader, ki se danes izobražuje v Novi Gorici, zanimiv za vsakega in predstavlja konkurenčne  kadre v prihodnosti.</w:t>
      </w:r>
    </w:p>
    <w:p w14:paraId="34EB6389"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455646B3"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Novogoriška mestna občina</w:t>
      </w:r>
      <w:r w:rsidRPr="0041424E">
        <w:rPr>
          <w:rFonts w:eastAsia="Times New Roman" w:cstheme="minorHAnsi"/>
          <w:color w:val="FF0000"/>
          <w:sz w:val="20"/>
          <w:szCs w:val="20"/>
          <w:lang w:eastAsia="sl-SI"/>
        </w:rPr>
        <w:t> </w:t>
      </w:r>
      <w:r w:rsidRPr="0041424E">
        <w:rPr>
          <w:rFonts w:eastAsia="Times New Roman" w:cstheme="minorHAnsi"/>
          <w:color w:val="222222"/>
          <w:sz w:val="20"/>
          <w:szCs w:val="20"/>
          <w:lang w:eastAsia="sl-SI"/>
        </w:rPr>
        <w:t>bo pri prodaji zemljišč določila pogoje na podlagi kriterijev, ki določajo uspešnost podjetja, razvojno naravnanost, povezljivost in uporabo zelenih tehnologij.</w:t>
      </w:r>
    </w:p>
    <w:p w14:paraId="19E32941"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3AB26F7E"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Izgled bodoče cone je določen z veljavnim lokacijskim načrtom. Prednost bodo imela podjetja z višjo dodano vrednostjo, trajnostnim načinom gradnje, čim višjo energetsko samozadostnostjo, razvojno orientiranostjo ter z zelenimi tehnologijami.</w:t>
      </w:r>
    </w:p>
    <w:p w14:paraId="6A6BF62F"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4AD058DE"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35EE16CA" w14:textId="5DCCB1C9"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Predstavitev možnosti investiranja na območju Poslovno-ekonomske cone Nova Gorica-Kromberk za zainteresirano javnost in potencialne investitorje bo </w:t>
      </w:r>
      <w:r w:rsidRPr="0041424E">
        <w:rPr>
          <w:rFonts w:eastAsia="Times New Roman" w:cstheme="minorHAnsi"/>
          <w:b/>
          <w:bCs/>
          <w:color w:val="222222"/>
          <w:sz w:val="20"/>
          <w:szCs w:val="20"/>
          <w:u w:val="single"/>
          <w:lang w:eastAsia="sl-SI"/>
        </w:rPr>
        <w:t xml:space="preserve">v sredo. 23. marca 2022 ob 13.30 v novogoriškem </w:t>
      </w:r>
      <w:proofErr w:type="spellStart"/>
      <w:r w:rsidRPr="0041424E">
        <w:rPr>
          <w:rFonts w:eastAsia="Times New Roman" w:cstheme="minorHAnsi"/>
          <w:b/>
          <w:bCs/>
          <w:color w:val="222222"/>
          <w:sz w:val="20"/>
          <w:szCs w:val="20"/>
          <w:u w:val="single"/>
          <w:lang w:eastAsia="sl-SI"/>
        </w:rPr>
        <w:t>Xcentru</w:t>
      </w:r>
      <w:proofErr w:type="spellEnd"/>
      <w:r w:rsidRPr="0041424E">
        <w:rPr>
          <w:rFonts w:eastAsia="Times New Roman" w:cstheme="minorHAnsi"/>
          <w:b/>
          <w:bCs/>
          <w:color w:val="222222"/>
          <w:sz w:val="20"/>
          <w:szCs w:val="20"/>
          <w:u w:val="single"/>
          <w:lang w:eastAsia="sl-SI"/>
        </w:rPr>
        <w:t>.</w:t>
      </w:r>
      <w:r w:rsidRPr="0041424E">
        <w:rPr>
          <w:rFonts w:eastAsia="Times New Roman" w:cstheme="minorHAnsi"/>
          <w:b/>
          <w:bCs/>
          <w:color w:val="222222"/>
          <w:sz w:val="20"/>
          <w:szCs w:val="20"/>
          <w:lang w:eastAsia="sl-SI"/>
        </w:rPr>
        <w:t> Razpis za prodajo zemljišč bo sledil v april</w:t>
      </w:r>
      <w:r w:rsidR="00DF1600">
        <w:rPr>
          <w:rFonts w:eastAsia="Times New Roman" w:cstheme="minorHAnsi"/>
          <w:b/>
          <w:bCs/>
          <w:color w:val="222222"/>
          <w:sz w:val="20"/>
          <w:szCs w:val="20"/>
          <w:lang w:eastAsia="sl-SI"/>
        </w:rPr>
        <w:t>u</w:t>
      </w:r>
      <w:r w:rsidRPr="0041424E">
        <w:rPr>
          <w:rFonts w:eastAsia="Times New Roman" w:cstheme="minorHAnsi"/>
          <w:b/>
          <w:bCs/>
          <w:color w:val="222222"/>
          <w:sz w:val="20"/>
          <w:szCs w:val="20"/>
          <w:lang w:eastAsia="sl-SI"/>
        </w:rPr>
        <w:t>. Cena komunalno opremljenih zemljišč bo konkurenčna, komunalni prispevek bo subvencioniran do 80 odstotkov.</w:t>
      </w:r>
    </w:p>
    <w:p w14:paraId="09ED0A91"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65BB2594"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579D94DA" w14:textId="16CCCA0F"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xml:space="preserve">Posamezni kupci bodo lahko </w:t>
      </w:r>
      <w:r w:rsidR="009A4D40">
        <w:rPr>
          <w:rFonts w:eastAsia="Times New Roman" w:cstheme="minorHAnsi"/>
          <w:color w:val="222222"/>
          <w:sz w:val="20"/>
          <w:szCs w:val="20"/>
          <w:lang w:eastAsia="sl-SI"/>
        </w:rPr>
        <w:t>za</w:t>
      </w:r>
      <w:r w:rsidRPr="0041424E">
        <w:rPr>
          <w:rFonts w:eastAsia="Times New Roman" w:cstheme="minorHAnsi"/>
          <w:color w:val="222222"/>
          <w:sz w:val="20"/>
          <w:szCs w:val="20"/>
          <w:lang w:eastAsia="sl-SI"/>
        </w:rPr>
        <w:t xml:space="preserve">čeli s postopki pridobivanja gradbenih dovoljenj za posamezne objekte takoj po izvedeni kupoprodaji oziroma še v  letu 2022. Novogoriška mestna občina bo s komunalnim  urejanjem območja poslovno-ekonomske cone zaključila maja 2023, poslovni objekti v poslovni coni  pa </w:t>
      </w:r>
      <w:r w:rsidR="00854B21" w:rsidRPr="0041424E">
        <w:rPr>
          <w:rFonts w:eastAsia="Times New Roman" w:cstheme="minorHAnsi"/>
          <w:color w:val="222222"/>
          <w:sz w:val="20"/>
          <w:szCs w:val="20"/>
          <w:lang w:eastAsia="sl-SI"/>
        </w:rPr>
        <w:t>mor</w:t>
      </w:r>
      <w:r w:rsidR="00854B21">
        <w:rPr>
          <w:rFonts w:eastAsia="Times New Roman" w:cstheme="minorHAnsi"/>
          <w:color w:val="222222"/>
          <w:sz w:val="20"/>
          <w:szCs w:val="20"/>
          <w:lang w:eastAsia="sl-SI"/>
        </w:rPr>
        <w:t>aj</w:t>
      </w:r>
      <w:r w:rsidR="00854B21" w:rsidRPr="0041424E">
        <w:rPr>
          <w:rFonts w:eastAsia="Times New Roman" w:cstheme="minorHAnsi"/>
          <w:color w:val="222222"/>
          <w:sz w:val="20"/>
          <w:szCs w:val="20"/>
          <w:lang w:eastAsia="sl-SI"/>
        </w:rPr>
        <w:t>o</w:t>
      </w:r>
      <w:r w:rsidRPr="0041424E">
        <w:rPr>
          <w:rFonts w:eastAsia="Times New Roman" w:cstheme="minorHAnsi"/>
          <w:color w:val="222222"/>
          <w:sz w:val="20"/>
          <w:szCs w:val="20"/>
          <w:lang w:eastAsia="sl-SI"/>
        </w:rPr>
        <w:t xml:space="preserve"> biti v celoti zgrajen</w:t>
      </w:r>
      <w:r w:rsidR="00854B21">
        <w:rPr>
          <w:rFonts w:eastAsia="Times New Roman" w:cstheme="minorHAnsi"/>
          <w:color w:val="222222"/>
          <w:sz w:val="20"/>
          <w:szCs w:val="20"/>
          <w:lang w:eastAsia="sl-SI"/>
        </w:rPr>
        <w:t>i</w:t>
      </w:r>
      <w:r w:rsidRPr="0041424E">
        <w:rPr>
          <w:rFonts w:eastAsia="Times New Roman" w:cstheme="minorHAnsi"/>
          <w:color w:val="222222"/>
          <w:sz w:val="20"/>
          <w:szCs w:val="20"/>
          <w:lang w:eastAsia="sl-SI"/>
        </w:rPr>
        <w:t xml:space="preserve"> do leta 2025.</w:t>
      </w:r>
    </w:p>
    <w:p w14:paraId="4AD99E5A" w14:textId="136147C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199CCB13" w14:textId="636E6F3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lastRenderedPageBreak/>
        <w:t>»</w:t>
      </w:r>
      <w:r w:rsidRPr="0041424E">
        <w:rPr>
          <w:rFonts w:eastAsia="Times New Roman" w:cstheme="minorHAnsi"/>
          <w:i/>
          <w:iCs/>
          <w:color w:val="222222"/>
          <w:sz w:val="20"/>
          <w:szCs w:val="20"/>
          <w:lang w:eastAsia="sl-SI"/>
        </w:rPr>
        <w:t xml:space="preserve">To je po dolgem času spet površina, ki bo namenjena razvoju gospodarstva in novim delovnim mestom v naših krajih. Postavljamo sodobno, napredno cono, v katero se bodo naseljevala podjetja z visoko dodano vrednostjo, s poudarkom na raziskavah in razvoju. To cono bomo tudi zgledno povezali z </w:t>
      </w:r>
      <w:r w:rsidR="00FB57D8">
        <w:rPr>
          <w:rFonts w:eastAsia="Times New Roman" w:cstheme="minorHAnsi"/>
          <w:i/>
          <w:iCs/>
          <w:color w:val="222222"/>
          <w:sz w:val="20"/>
          <w:szCs w:val="20"/>
          <w:lang w:eastAsia="sl-SI"/>
        </w:rPr>
        <w:t>Novo Gorico z mestnim avtobusom</w:t>
      </w:r>
      <w:r w:rsidR="00803328">
        <w:rPr>
          <w:rFonts w:eastAsia="Times New Roman" w:cstheme="minorHAnsi"/>
          <w:i/>
          <w:iCs/>
          <w:color w:val="222222"/>
          <w:sz w:val="20"/>
          <w:szCs w:val="20"/>
          <w:lang w:eastAsia="sl-SI"/>
        </w:rPr>
        <w:t xml:space="preserve"> in</w:t>
      </w:r>
      <w:r w:rsidRPr="0041424E">
        <w:rPr>
          <w:rFonts w:eastAsia="Times New Roman" w:cstheme="minorHAnsi"/>
          <w:i/>
          <w:iCs/>
          <w:color w:val="222222"/>
          <w:sz w:val="20"/>
          <w:szCs w:val="20"/>
          <w:lang w:eastAsia="sl-SI"/>
        </w:rPr>
        <w:t xml:space="preserve"> </w:t>
      </w:r>
      <w:r w:rsidR="00803328">
        <w:rPr>
          <w:rFonts w:eastAsia="Times New Roman" w:cstheme="minorHAnsi"/>
          <w:i/>
          <w:iCs/>
          <w:color w:val="222222"/>
          <w:sz w:val="20"/>
          <w:szCs w:val="20"/>
          <w:lang w:eastAsia="sl-SI"/>
        </w:rPr>
        <w:t>s kolesarsko potjo, vanjo bodo umeščeni tudi</w:t>
      </w:r>
      <w:r w:rsidRPr="0041424E">
        <w:rPr>
          <w:rFonts w:eastAsia="Times New Roman" w:cstheme="minorHAnsi"/>
          <w:i/>
          <w:iCs/>
          <w:color w:val="222222"/>
          <w:sz w:val="20"/>
          <w:szCs w:val="20"/>
          <w:lang w:eastAsia="sl-SI"/>
        </w:rPr>
        <w:t xml:space="preserve"> terminali za izposojo koles </w:t>
      </w:r>
      <w:r w:rsidR="009A4D40">
        <w:rPr>
          <w:rFonts w:eastAsia="Times New Roman" w:cstheme="minorHAnsi"/>
          <w:i/>
          <w:iCs/>
          <w:color w:val="222222"/>
          <w:sz w:val="20"/>
          <w:szCs w:val="20"/>
          <w:lang w:eastAsia="sl-SI"/>
        </w:rPr>
        <w:t>g</w:t>
      </w:r>
      <w:r w:rsidRPr="0041424E">
        <w:rPr>
          <w:rFonts w:eastAsia="Times New Roman" w:cstheme="minorHAnsi"/>
          <w:i/>
          <w:iCs/>
          <w:color w:val="222222"/>
          <w:sz w:val="20"/>
          <w:szCs w:val="20"/>
          <w:lang w:eastAsia="sl-SI"/>
        </w:rPr>
        <w:t>o2</w:t>
      </w:r>
      <w:r w:rsidR="009A4D40">
        <w:rPr>
          <w:rFonts w:eastAsia="Times New Roman" w:cstheme="minorHAnsi"/>
          <w:i/>
          <w:iCs/>
          <w:color w:val="222222"/>
          <w:sz w:val="20"/>
          <w:szCs w:val="20"/>
          <w:lang w:eastAsia="sl-SI"/>
        </w:rPr>
        <w:t>g</w:t>
      </w:r>
      <w:r w:rsidRPr="0041424E">
        <w:rPr>
          <w:rFonts w:eastAsia="Times New Roman" w:cstheme="minorHAnsi"/>
          <w:i/>
          <w:iCs/>
          <w:color w:val="222222"/>
          <w:sz w:val="20"/>
          <w:szCs w:val="20"/>
          <w:lang w:eastAsia="sl-SI"/>
        </w:rPr>
        <w:t>o</w:t>
      </w:r>
      <w:r w:rsidRPr="0041424E">
        <w:rPr>
          <w:rFonts w:eastAsia="Times New Roman" w:cstheme="minorHAnsi"/>
          <w:color w:val="222222"/>
          <w:sz w:val="20"/>
          <w:szCs w:val="20"/>
          <w:lang w:eastAsia="sl-SI"/>
        </w:rPr>
        <w:t>,« poudarja </w:t>
      </w:r>
      <w:r w:rsidRPr="0041424E">
        <w:rPr>
          <w:rFonts w:eastAsia="Times New Roman" w:cstheme="minorHAnsi"/>
          <w:b/>
          <w:bCs/>
          <w:color w:val="222222"/>
          <w:sz w:val="20"/>
          <w:szCs w:val="20"/>
          <w:lang w:eastAsia="sl-SI"/>
        </w:rPr>
        <w:t>novogoriški župan dr. Klemen Miklavič.</w:t>
      </w:r>
    </w:p>
    <w:p w14:paraId="2F274C5A"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 </w:t>
      </w:r>
    </w:p>
    <w:p w14:paraId="11A8F83B"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1A47B99D" w14:textId="661D223F"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Zanimanje za nakup zemljišč v bodoči coni je zelo veliko. To izpostavlja tudi župan: »</w:t>
      </w:r>
      <w:r w:rsidRPr="0041424E">
        <w:rPr>
          <w:rFonts w:eastAsia="Times New Roman" w:cstheme="minorHAnsi"/>
          <w:i/>
          <w:iCs/>
          <w:color w:val="222222"/>
          <w:sz w:val="20"/>
          <w:szCs w:val="20"/>
          <w:lang w:eastAsia="sl-SI"/>
        </w:rPr>
        <w:t>Nova Gorica je postala zelo atraktivna lokacija za investicije. Še preden smo cono sploh najavili, so se pri nas zvrstila podjetja. Veseli me, da so to tudi visokotehnološka podjetja, nekatera so celo zrasla na Goriškem iz Primorskega tehnološkega parka. To kaže, da je potrebno gospodarstvo razvijati z razmislekom in postavljati trdne temelje. Imamo dobre šole, univerzo, inovacijske inštitucije, tehnološki park in to povezujemo.</w:t>
      </w:r>
      <w:r w:rsidRPr="0041424E">
        <w:rPr>
          <w:rFonts w:eastAsia="Times New Roman" w:cstheme="minorHAnsi"/>
          <w:color w:val="222222"/>
          <w:sz w:val="20"/>
          <w:szCs w:val="20"/>
          <w:lang w:eastAsia="sl-SI"/>
        </w:rPr>
        <w:t>«</w:t>
      </w:r>
    </w:p>
    <w:p w14:paraId="4CA88F21"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7987CFAF" w14:textId="77777777" w:rsidR="00720A95" w:rsidRPr="0041424E" w:rsidRDefault="00720A95" w:rsidP="00720A95">
      <w:pPr>
        <w:shd w:val="clear" w:color="auto" w:fill="FFFFFF"/>
        <w:spacing w:after="0" w:line="240" w:lineRule="auto"/>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 </w:t>
      </w:r>
    </w:p>
    <w:p w14:paraId="6A375F96" w14:textId="77777777" w:rsidR="00720A95" w:rsidRPr="0041424E" w:rsidRDefault="00720A95" w:rsidP="00720A95">
      <w:pPr>
        <w:shd w:val="clear" w:color="auto" w:fill="FFFFFF"/>
        <w:spacing w:after="0" w:line="205" w:lineRule="atLeast"/>
        <w:jc w:val="both"/>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Dodatne informacije:</w:t>
      </w:r>
    </w:p>
    <w:p w14:paraId="695AF6CD" w14:textId="77777777" w:rsidR="00720A95" w:rsidRPr="0041424E" w:rsidRDefault="00720A95" w:rsidP="00720A95">
      <w:pPr>
        <w:shd w:val="clear" w:color="auto" w:fill="FFFFFF"/>
        <w:spacing w:after="0" w:line="205" w:lineRule="atLeast"/>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Razvojna pisarna novogoriške mestne občine</w:t>
      </w:r>
    </w:p>
    <w:p w14:paraId="61BAF33B" w14:textId="77777777" w:rsidR="00720A95" w:rsidRPr="0041424E" w:rsidRDefault="00720A95" w:rsidP="00720A95">
      <w:pPr>
        <w:shd w:val="clear" w:color="auto" w:fill="FFFFFF"/>
        <w:spacing w:after="0" w:line="205" w:lineRule="atLeast"/>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Mitja Pekeč, strokovni sodelavec za investicije</w:t>
      </w:r>
    </w:p>
    <w:p w14:paraId="5C1219B0" w14:textId="77777777" w:rsidR="00720A95" w:rsidRPr="0041424E" w:rsidRDefault="00720A95" w:rsidP="00720A95">
      <w:pPr>
        <w:shd w:val="clear" w:color="auto" w:fill="FFFFFF"/>
        <w:spacing w:after="0" w:line="205" w:lineRule="atLeast"/>
        <w:jc w:val="both"/>
        <w:rPr>
          <w:rFonts w:eastAsia="Times New Roman" w:cstheme="minorHAnsi"/>
          <w:color w:val="222222"/>
          <w:sz w:val="18"/>
          <w:szCs w:val="18"/>
          <w:lang w:eastAsia="sl-SI"/>
        </w:rPr>
      </w:pPr>
      <w:r w:rsidRPr="0041424E">
        <w:rPr>
          <w:rFonts w:eastAsia="Times New Roman" w:cstheme="minorHAnsi"/>
          <w:color w:val="222222"/>
          <w:sz w:val="20"/>
          <w:szCs w:val="20"/>
          <w:lang w:eastAsia="sl-SI"/>
        </w:rPr>
        <w:t>Tel. 05/ 33 50 106 oziroma 041 753 106</w:t>
      </w:r>
    </w:p>
    <w:p w14:paraId="3D706D6C" w14:textId="77777777" w:rsidR="00720A95" w:rsidRPr="0041424E" w:rsidRDefault="00720A95" w:rsidP="00720A95">
      <w:pPr>
        <w:shd w:val="clear" w:color="auto" w:fill="FFFFFF"/>
        <w:spacing w:after="0" w:line="240" w:lineRule="auto"/>
        <w:rPr>
          <w:rFonts w:eastAsia="Times New Roman" w:cstheme="minorHAnsi"/>
          <w:color w:val="222222"/>
          <w:sz w:val="18"/>
          <w:szCs w:val="18"/>
          <w:lang w:eastAsia="sl-SI"/>
        </w:rPr>
      </w:pPr>
      <w:r w:rsidRPr="0041424E">
        <w:rPr>
          <w:rFonts w:eastAsia="Times New Roman" w:cstheme="minorHAnsi"/>
          <w:b/>
          <w:bCs/>
          <w:color w:val="222222"/>
          <w:sz w:val="20"/>
          <w:szCs w:val="20"/>
          <w:lang w:eastAsia="sl-SI"/>
        </w:rPr>
        <w:t> </w:t>
      </w:r>
    </w:p>
    <w:p w14:paraId="1D22A513" w14:textId="05D50436" w:rsidR="00720A95" w:rsidRDefault="00720A95" w:rsidP="00720A95">
      <w:pPr>
        <w:shd w:val="clear" w:color="auto" w:fill="FFFFFF"/>
        <w:spacing w:after="0" w:line="240" w:lineRule="auto"/>
        <w:jc w:val="both"/>
        <w:rPr>
          <w:rFonts w:eastAsia="Times New Roman" w:cstheme="minorHAnsi"/>
          <w:i/>
          <w:iCs/>
          <w:color w:val="222222"/>
          <w:sz w:val="20"/>
          <w:szCs w:val="20"/>
          <w:bdr w:val="none" w:sz="0" w:space="0" w:color="auto" w:frame="1"/>
          <w:lang w:eastAsia="sl-SI"/>
        </w:rPr>
      </w:pPr>
      <w:r w:rsidRPr="0041424E">
        <w:rPr>
          <w:rFonts w:eastAsia="Times New Roman" w:cstheme="minorHAnsi"/>
          <w:color w:val="222222"/>
          <w:sz w:val="20"/>
          <w:szCs w:val="20"/>
          <w:lang w:eastAsia="sl-SI"/>
        </w:rPr>
        <w:t>Naložbo »Izgradnja Poslovno-ekonomsk</w:t>
      </w:r>
      <w:r w:rsidR="00EB68D1" w:rsidRPr="0041424E">
        <w:rPr>
          <w:rFonts w:eastAsia="Times New Roman" w:cstheme="minorHAnsi"/>
          <w:color w:val="222222"/>
          <w:sz w:val="20"/>
          <w:szCs w:val="20"/>
          <w:lang w:eastAsia="sl-SI"/>
        </w:rPr>
        <w:t>e</w:t>
      </w:r>
      <w:r w:rsidRPr="0041424E">
        <w:rPr>
          <w:rFonts w:eastAsia="Times New Roman" w:cstheme="minorHAnsi"/>
          <w:color w:val="222222"/>
          <w:sz w:val="20"/>
          <w:szCs w:val="20"/>
          <w:lang w:eastAsia="sl-SI"/>
        </w:rPr>
        <w:t xml:space="preserve"> con</w:t>
      </w:r>
      <w:r w:rsidR="00EB68D1" w:rsidRPr="0041424E">
        <w:rPr>
          <w:rFonts w:eastAsia="Times New Roman" w:cstheme="minorHAnsi"/>
          <w:color w:val="222222"/>
          <w:sz w:val="20"/>
          <w:szCs w:val="20"/>
          <w:lang w:eastAsia="sl-SI"/>
        </w:rPr>
        <w:t>e</w:t>
      </w:r>
      <w:r w:rsidRPr="0041424E">
        <w:rPr>
          <w:rFonts w:eastAsia="Times New Roman" w:cstheme="minorHAnsi"/>
          <w:color w:val="222222"/>
          <w:sz w:val="20"/>
          <w:szCs w:val="20"/>
          <w:lang w:eastAsia="sl-SI"/>
        </w:rPr>
        <w:t xml:space="preserve"> Nova Gorica – Kromberk« sofinancirata R</w:t>
      </w:r>
      <w:r w:rsidRPr="0041424E">
        <w:rPr>
          <w:rFonts w:eastAsia="Times New Roman" w:cstheme="minorHAnsi"/>
          <w:i/>
          <w:iCs/>
          <w:color w:val="222222"/>
          <w:sz w:val="20"/>
          <w:szCs w:val="20"/>
          <w:bdr w:val="none" w:sz="0" w:space="0" w:color="auto" w:frame="1"/>
          <w:lang w:eastAsia="sl-SI"/>
        </w:rPr>
        <w:t>epublika Slovenija in Evropska Unija iz Evropskega sklada za regionalni razvoj. </w:t>
      </w:r>
    </w:p>
    <w:p w14:paraId="1CFEF02E" w14:textId="7B50E76E" w:rsidR="00CD3182" w:rsidRDefault="00CD3182" w:rsidP="00720A95">
      <w:pPr>
        <w:shd w:val="clear" w:color="auto" w:fill="FFFFFF"/>
        <w:spacing w:after="0" w:line="240" w:lineRule="auto"/>
        <w:jc w:val="both"/>
        <w:rPr>
          <w:rFonts w:eastAsia="Times New Roman" w:cstheme="minorHAnsi"/>
          <w:i/>
          <w:iCs/>
          <w:color w:val="222222"/>
          <w:sz w:val="20"/>
          <w:szCs w:val="20"/>
          <w:bdr w:val="none" w:sz="0" w:space="0" w:color="auto" w:frame="1"/>
          <w:lang w:eastAsia="sl-SI"/>
        </w:rPr>
      </w:pPr>
    </w:p>
    <w:p w14:paraId="69CB552E" w14:textId="388FA70B" w:rsidR="00CD3182" w:rsidRDefault="00CD3182" w:rsidP="00720A95">
      <w:pPr>
        <w:shd w:val="clear" w:color="auto" w:fill="FFFFFF"/>
        <w:spacing w:after="0" w:line="240" w:lineRule="auto"/>
        <w:jc w:val="both"/>
        <w:rPr>
          <w:rFonts w:eastAsia="Times New Roman" w:cstheme="minorHAnsi"/>
          <w:i/>
          <w:iCs/>
          <w:color w:val="222222"/>
          <w:sz w:val="20"/>
          <w:szCs w:val="20"/>
          <w:bdr w:val="none" w:sz="0" w:space="0" w:color="auto" w:frame="1"/>
          <w:lang w:eastAsia="sl-SI"/>
        </w:rPr>
      </w:pPr>
    </w:p>
    <w:p w14:paraId="04352AA8" w14:textId="06B21ACB" w:rsidR="00CD3182" w:rsidRDefault="00CD3182" w:rsidP="00720A95">
      <w:pPr>
        <w:shd w:val="clear" w:color="auto" w:fill="FFFFFF"/>
        <w:spacing w:after="0" w:line="240" w:lineRule="auto"/>
        <w:jc w:val="both"/>
        <w:rPr>
          <w:rFonts w:eastAsia="Times New Roman" w:cstheme="minorHAnsi"/>
          <w:i/>
          <w:iCs/>
          <w:color w:val="222222"/>
          <w:sz w:val="20"/>
          <w:szCs w:val="20"/>
          <w:bdr w:val="none" w:sz="0" w:space="0" w:color="auto" w:frame="1"/>
          <w:lang w:eastAsia="sl-SI"/>
        </w:rPr>
      </w:pPr>
    </w:p>
    <w:p w14:paraId="79BA9437" w14:textId="77777777" w:rsidR="00CD3182" w:rsidRPr="00CD3182" w:rsidRDefault="00CD3182" w:rsidP="00720A95">
      <w:pPr>
        <w:shd w:val="clear" w:color="auto" w:fill="FFFFFF"/>
        <w:spacing w:after="0" w:line="240" w:lineRule="auto"/>
        <w:jc w:val="both"/>
        <w:rPr>
          <w:rFonts w:eastAsia="Times New Roman" w:cstheme="minorHAnsi"/>
          <w:color w:val="222222"/>
          <w:sz w:val="18"/>
          <w:szCs w:val="18"/>
          <w:lang w:eastAsia="sl-SI"/>
        </w:rPr>
      </w:pPr>
    </w:p>
    <w:p w14:paraId="63FA895D" w14:textId="18E87173" w:rsidR="00C656F7" w:rsidRDefault="00CD3182">
      <w:pPr>
        <w:rPr>
          <w:rFonts w:cstheme="minorHAnsi"/>
          <w:sz w:val="20"/>
          <w:szCs w:val="20"/>
        </w:rPr>
      </w:pPr>
      <w:r>
        <w:rPr>
          <w:rFonts w:cstheme="minorHAnsi"/>
          <w:noProof/>
          <w:sz w:val="20"/>
          <w:szCs w:val="20"/>
        </w:rPr>
        <w:drawing>
          <wp:inline distT="0" distB="0" distL="0" distR="0" wp14:anchorId="2BBA05DD" wp14:editId="0D44DCC4">
            <wp:extent cx="5723255" cy="3581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3255" cy="3581400"/>
                    </a:xfrm>
                    <a:prstGeom prst="rect">
                      <a:avLst/>
                    </a:prstGeom>
                    <a:noFill/>
                    <a:ln>
                      <a:noFill/>
                    </a:ln>
                  </pic:spPr>
                </pic:pic>
              </a:graphicData>
            </a:graphic>
          </wp:inline>
        </w:drawing>
      </w:r>
    </w:p>
    <w:p w14:paraId="285505D8" w14:textId="60CE0ABB" w:rsidR="00D27150" w:rsidRDefault="00D27150">
      <w:pPr>
        <w:rPr>
          <w:rFonts w:cstheme="minorHAnsi"/>
          <w:sz w:val="20"/>
          <w:szCs w:val="20"/>
        </w:rPr>
      </w:pPr>
    </w:p>
    <w:p w14:paraId="5B7E8AEA" w14:textId="1B6BAD1D" w:rsidR="00D27150" w:rsidRPr="0041424E" w:rsidRDefault="00D27150">
      <w:pPr>
        <w:rPr>
          <w:rFonts w:cstheme="minorHAnsi"/>
          <w:sz w:val="20"/>
          <w:szCs w:val="20"/>
        </w:rPr>
      </w:pPr>
      <w:r>
        <w:rPr>
          <w:rFonts w:ascii="Times New Roman" w:hAnsi="Times New Roman" w:cs="Times New Roman"/>
          <w:noProof/>
          <w:sz w:val="24"/>
          <w:szCs w:val="24"/>
        </w:rPr>
        <w:drawing>
          <wp:anchor distT="0" distB="0" distL="114300" distR="114300" simplePos="0" relativeHeight="251659264" behindDoc="1" locked="0" layoutInCell="1" allowOverlap="1" wp14:anchorId="420A3200" wp14:editId="23CA1A9D">
            <wp:simplePos x="0" y="0"/>
            <wp:positionH relativeFrom="margin">
              <wp:posOffset>0</wp:posOffset>
            </wp:positionH>
            <wp:positionV relativeFrom="paragraph">
              <wp:posOffset>-635</wp:posOffset>
            </wp:positionV>
            <wp:extent cx="2064385" cy="1002030"/>
            <wp:effectExtent l="0" t="0" r="0" b="762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4385" cy="1002030"/>
                    </a:xfrm>
                    <a:prstGeom prst="rect">
                      <a:avLst/>
                    </a:prstGeom>
                    <a:noFill/>
                  </pic:spPr>
                </pic:pic>
              </a:graphicData>
            </a:graphic>
            <wp14:sizeRelH relativeFrom="page">
              <wp14:pctWidth>0</wp14:pctWidth>
            </wp14:sizeRelH>
            <wp14:sizeRelV relativeFrom="page">
              <wp14:pctHeight>0</wp14:pctHeight>
            </wp14:sizeRelV>
          </wp:anchor>
        </w:drawing>
      </w:r>
    </w:p>
    <w:sectPr w:rsidR="00D27150" w:rsidRPr="00414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B39A8"/>
    <w:multiLevelType w:val="multilevel"/>
    <w:tmpl w:val="579A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2C6845"/>
    <w:multiLevelType w:val="multilevel"/>
    <w:tmpl w:val="FB302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1B"/>
    <w:rsid w:val="00045B18"/>
    <w:rsid w:val="001659E4"/>
    <w:rsid w:val="001D061F"/>
    <w:rsid w:val="001D378F"/>
    <w:rsid w:val="00314E7C"/>
    <w:rsid w:val="003F3EDB"/>
    <w:rsid w:val="0041424E"/>
    <w:rsid w:val="006157F2"/>
    <w:rsid w:val="00720A95"/>
    <w:rsid w:val="00772CDB"/>
    <w:rsid w:val="007E2989"/>
    <w:rsid w:val="00803328"/>
    <w:rsid w:val="00831082"/>
    <w:rsid w:val="00854B21"/>
    <w:rsid w:val="009A4D40"/>
    <w:rsid w:val="009A6AAD"/>
    <w:rsid w:val="00AE389B"/>
    <w:rsid w:val="00AF241B"/>
    <w:rsid w:val="00C656F7"/>
    <w:rsid w:val="00C939FC"/>
    <w:rsid w:val="00CD3182"/>
    <w:rsid w:val="00D17B49"/>
    <w:rsid w:val="00D27150"/>
    <w:rsid w:val="00DF1600"/>
    <w:rsid w:val="00E54300"/>
    <w:rsid w:val="00EB68D1"/>
    <w:rsid w:val="00FB57D8"/>
    <w:rsid w:val="00FD63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7929"/>
  <w15:chartTrackingRefBased/>
  <w15:docId w15:val="{9FBEA46F-1B9D-4F59-B789-283BCD7F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656F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656F7"/>
    <w:rPr>
      <w:b/>
      <w:bCs/>
    </w:rPr>
  </w:style>
  <w:style w:type="character" w:styleId="Poudarek">
    <w:name w:val="Emphasis"/>
    <w:basedOn w:val="Privzetapisavaodstavka"/>
    <w:uiPriority w:val="20"/>
    <w:qFormat/>
    <w:rsid w:val="00C656F7"/>
    <w:rPr>
      <w:i/>
      <w:iCs/>
    </w:rPr>
  </w:style>
  <w:style w:type="character" w:customStyle="1" w:styleId="gmaildefault">
    <w:name w:val="gmail_default"/>
    <w:basedOn w:val="Privzetapisavaodstavka"/>
    <w:rsid w:val="003F3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2795">
      <w:bodyDiv w:val="1"/>
      <w:marLeft w:val="0"/>
      <w:marRight w:val="0"/>
      <w:marTop w:val="0"/>
      <w:marBottom w:val="0"/>
      <w:divBdr>
        <w:top w:val="none" w:sz="0" w:space="0" w:color="auto"/>
        <w:left w:val="none" w:sz="0" w:space="0" w:color="auto"/>
        <w:bottom w:val="none" w:sz="0" w:space="0" w:color="auto"/>
        <w:right w:val="none" w:sz="0" w:space="0" w:color="auto"/>
      </w:divBdr>
      <w:divsChild>
        <w:div w:id="1738015251">
          <w:marLeft w:val="0"/>
          <w:marRight w:val="0"/>
          <w:marTop w:val="0"/>
          <w:marBottom w:val="0"/>
          <w:divBdr>
            <w:top w:val="none" w:sz="0" w:space="0" w:color="auto"/>
            <w:left w:val="none" w:sz="0" w:space="0" w:color="auto"/>
            <w:bottom w:val="none" w:sz="0" w:space="0" w:color="auto"/>
            <w:right w:val="none" w:sz="0" w:space="0" w:color="auto"/>
          </w:divBdr>
        </w:div>
      </w:divsChild>
    </w:div>
    <w:div w:id="195193888">
      <w:bodyDiv w:val="1"/>
      <w:marLeft w:val="0"/>
      <w:marRight w:val="0"/>
      <w:marTop w:val="0"/>
      <w:marBottom w:val="0"/>
      <w:divBdr>
        <w:top w:val="none" w:sz="0" w:space="0" w:color="auto"/>
        <w:left w:val="none" w:sz="0" w:space="0" w:color="auto"/>
        <w:bottom w:val="none" w:sz="0" w:space="0" w:color="auto"/>
        <w:right w:val="none" w:sz="0" w:space="0" w:color="auto"/>
      </w:divBdr>
      <w:divsChild>
        <w:div w:id="771323722">
          <w:marLeft w:val="0"/>
          <w:marRight w:val="0"/>
          <w:marTop w:val="0"/>
          <w:marBottom w:val="0"/>
          <w:divBdr>
            <w:top w:val="none" w:sz="0" w:space="0" w:color="auto"/>
            <w:left w:val="none" w:sz="0" w:space="0" w:color="auto"/>
            <w:bottom w:val="none" w:sz="0" w:space="0" w:color="auto"/>
            <w:right w:val="none" w:sz="0" w:space="0" w:color="auto"/>
          </w:divBdr>
        </w:div>
      </w:divsChild>
    </w:div>
    <w:div w:id="1333726122">
      <w:bodyDiv w:val="1"/>
      <w:marLeft w:val="0"/>
      <w:marRight w:val="0"/>
      <w:marTop w:val="0"/>
      <w:marBottom w:val="0"/>
      <w:divBdr>
        <w:top w:val="none" w:sz="0" w:space="0" w:color="auto"/>
        <w:left w:val="none" w:sz="0" w:space="0" w:color="auto"/>
        <w:bottom w:val="none" w:sz="0" w:space="0" w:color="auto"/>
        <w:right w:val="none" w:sz="0" w:space="0" w:color="auto"/>
      </w:divBdr>
    </w:div>
    <w:div w:id="1616133566">
      <w:bodyDiv w:val="1"/>
      <w:marLeft w:val="0"/>
      <w:marRight w:val="0"/>
      <w:marTop w:val="0"/>
      <w:marBottom w:val="0"/>
      <w:divBdr>
        <w:top w:val="none" w:sz="0" w:space="0" w:color="auto"/>
        <w:left w:val="none" w:sz="0" w:space="0" w:color="auto"/>
        <w:bottom w:val="none" w:sz="0" w:space="0" w:color="auto"/>
        <w:right w:val="none" w:sz="0" w:space="0" w:color="auto"/>
      </w:divBdr>
      <w:divsChild>
        <w:div w:id="15666041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9227696">
              <w:marLeft w:val="0"/>
              <w:marRight w:val="0"/>
              <w:marTop w:val="0"/>
              <w:marBottom w:val="0"/>
              <w:divBdr>
                <w:top w:val="none" w:sz="0" w:space="0" w:color="auto"/>
                <w:left w:val="none" w:sz="0" w:space="0" w:color="auto"/>
                <w:bottom w:val="none" w:sz="0" w:space="0" w:color="auto"/>
                <w:right w:val="none" w:sz="0" w:space="0" w:color="auto"/>
              </w:divBdr>
              <w:divsChild>
                <w:div w:id="1240359150">
                  <w:marLeft w:val="0"/>
                  <w:marRight w:val="0"/>
                  <w:marTop w:val="0"/>
                  <w:marBottom w:val="0"/>
                  <w:divBdr>
                    <w:top w:val="none" w:sz="0" w:space="0" w:color="auto"/>
                    <w:left w:val="none" w:sz="0" w:space="0" w:color="auto"/>
                    <w:bottom w:val="none" w:sz="0" w:space="0" w:color="auto"/>
                    <w:right w:val="none" w:sz="0" w:space="0" w:color="auto"/>
                  </w:divBdr>
                  <w:divsChild>
                    <w:div w:id="881557114">
                      <w:marLeft w:val="0"/>
                      <w:marRight w:val="0"/>
                      <w:marTop w:val="0"/>
                      <w:marBottom w:val="0"/>
                      <w:divBdr>
                        <w:top w:val="none" w:sz="0" w:space="0" w:color="auto"/>
                        <w:left w:val="none" w:sz="0" w:space="0" w:color="auto"/>
                        <w:bottom w:val="none" w:sz="0" w:space="0" w:color="auto"/>
                        <w:right w:val="none" w:sz="0" w:space="0" w:color="auto"/>
                      </w:divBdr>
                      <w:divsChild>
                        <w:div w:id="6754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7140">
          <w:marLeft w:val="0"/>
          <w:marRight w:val="0"/>
          <w:marTop w:val="30"/>
          <w:marBottom w:val="0"/>
          <w:divBdr>
            <w:top w:val="none" w:sz="0" w:space="0" w:color="auto"/>
            <w:left w:val="none" w:sz="0" w:space="0" w:color="auto"/>
            <w:bottom w:val="none" w:sz="0" w:space="0" w:color="auto"/>
            <w:right w:val="none" w:sz="0" w:space="0" w:color="auto"/>
          </w:divBdr>
          <w:divsChild>
            <w:div w:id="675501263">
              <w:marLeft w:val="0"/>
              <w:marRight w:val="0"/>
              <w:marTop w:val="0"/>
              <w:marBottom w:val="0"/>
              <w:divBdr>
                <w:top w:val="none" w:sz="0" w:space="0" w:color="auto"/>
                <w:left w:val="none" w:sz="0" w:space="0" w:color="auto"/>
                <w:bottom w:val="none" w:sz="0" w:space="0" w:color="auto"/>
                <w:right w:val="none" w:sz="0" w:space="0" w:color="auto"/>
              </w:divBdr>
            </w:div>
          </w:divsChild>
        </w:div>
        <w:div w:id="2083210314">
          <w:marLeft w:val="0"/>
          <w:marRight w:val="0"/>
          <w:marTop w:val="0"/>
          <w:marBottom w:val="0"/>
          <w:divBdr>
            <w:top w:val="none" w:sz="0" w:space="0" w:color="auto"/>
            <w:left w:val="none" w:sz="0" w:space="0" w:color="auto"/>
            <w:bottom w:val="none" w:sz="0" w:space="0" w:color="auto"/>
            <w:right w:val="none" w:sz="0" w:space="0" w:color="auto"/>
          </w:divBdr>
          <w:divsChild>
            <w:div w:id="294675670">
              <w:marLeft w:val="0"/>
              <w:marRight w:val="0"/>
              <w:marTop w:val="0"/>
              <w:marBottom w:val="0"/>
              <w:divBdr>
                <w:top w:val="none" w:sz="0" w:space="0" w:color="auto"/>
                <w:left w:val="none" w:sz="0" w:space="0" w:color="auto"/>
                <w:bottom w:val="none" w:sz="0" w:space="0" w:color="auto"/>
                <w:right w:val="none" w:sz="0" w:space="0" w:color="auto"/>
              </w:divBdr>
              <w:divsChild>
                <w:div w:id="4986153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5835935">
                      <w:marLeft w:val="0"/>
                      <w:marRight w:val="0"/>
                      <w:marTop w:val="0"/>
                      <w:marBottom w:val="0"/>
                      <w:divBdr>
                        <w:top w:val="none" w:sz="0" w:space="0" w:color="auto"/>
                        <w:left w:val="none" w:sz="0" w:space="0" w:color="auto"/>
                        <w:bottom w:val="none" w:sz="0" w:space="0" w:color="auto"/>
                        <w:right w:val="none" w:sz="0" w:space="0" w:color="auto"/>
                      </w:divBdr>
                      <w:divsChild>
                        <w:div w:id="209148196">
                          <w:marLeft w:val="0"/>
                          <w:marRight w:val="0"/>
                          <w:marTop w:val="0"/>
                          <w:marBottom w:val="0"/>
                          <w:divBdr>
                            <w:top w:val="none" w:sz="0" w:space="0" w:color="auto"/>
                            <w:left w:val="none" w:sz="0" w:space="0" w:color="auto"/>
                            <w:bottom w:val="none" w:sz="0" w:space="0" w:color="auto"/>
                            <w:right w:val="none" w:sz="0" w:space="0" w:color="auto"/>
                          </w:divBdr>
                          <w:divsChild>
                            <w:div w:id="1010836102">
                              <w:marLeft w:val="0"/>
                              <w:marRight w:val="0"/>
                              <w:marTop w:val="0"/>
                              <w:marBottom w:val="0"/>
                              <w:divBdr>
                                <w:top w:val="none" w:sz="0" w:space="0" w:color="auto"/>
                                <w:left w:val="none" w:sz="0" w:space="0" w:color="auto"/>
                                <w:bottom w:val="none" w:sz="0" w:space="0" w:color="auto"/>
                                <w:right w:val="none" w:sz="0" w:space="0" w:color="auto"/>
                              </w:divBdr>
                              <w:divsChild>
                                <w:div w:id="13284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66182">
      <w:bodyDiv w:val="1"/>
      <w:marLeft w:val="0"/>
      <w:marRight w:val="0"/>
      <w:marTop w:val="0"/>
      <w:marBottom w:val="0"/>
      <w:divBdr>
        <w:top w:val="none" w:sz="0" w:space="0" w:color="auto"/>
        <w:left w:val="none" w:sz="0" w:space="0" w:color="auto"/>
        <w:bottom w:val="none" w:sz="0" w:space="0" w:color="auto"/>
        <w:right w:val="none" w:sz="0" w:space="0" w:color="auto"/>
      </w:divBdr>
    </w:div>
    <w:div w:id="2028871881">
      <w:bodyDiv w:val="1"/>
      <w:marLeft w:val="0"/>
      <w:marRight w:val="0"/>
      <w:marTop w:val="0"/>
      <w:marBottom w:val="0"/>
      <w:divBdr>
        <w:top w:val="none" w:sz="0" w:space="0" w:color="auto"/>
        <w:left w:val="none" w:sz="0" w:space="0" w:color="auto"/>
        <w:bottom w:val="none" w:sz="0" w:space="0" w:color="auto"/>
        <w:right w:val="none" w:sz="0" w:space="0" w:color="auto"/>
      </w:divBdr>
    </w:div>
    <w:div w:id="21095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4</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ajda sazonov</dc:creator>
  <cp:keywords/>
  <dc:description/>
  <cp:lastModifiedBy>Jana Kragelj Ličen</cp:lastModifiedBy>
  <cp:revision>2</cp:revision>
  <dcterms:created xsi:type="dcterms:W3CDTF">2022-03-18T06:52:00Z</dcterms:created>
  <dcterms:modified xsi:type="dcterms:W3CDTF">2022-03-18T06:52:00Z</dcterms:modified>
</cp:coreProperties>
</file>